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958" w14:textId="25A124BF" w:rsidR="005216AB" w:rsidRPr="003874C0" w:rsidRDefault="00115107" w:rsidP="003874C0">
      <w:pPr>
        <w:pStyle w:val="Tytu"/>
        <w:spacing w:after="60"/>
        <w:rPr>
          <w:rStyle w:val="TytuZnak"/>
          <w:b w:val="0"/>
          <w:bCs w:val="0"/>
        </w:rPr>
      </w:pPr>
      <w:bookmarkStart w:id="0" w:name="__UnoMark__200_3674913228"/>
      <w:bookmarkEnd w:id="0"/>
      <w:r w:rsidRPr="003874C0">
        <w:rPr>
          <w:rStyle w:val="TytuZnak"/>
          <w:b w:val="0"/>
          <w:bCs w:val="0"/>
        </w:rPr>
        <w:t xml:space="preserve">Św. Jan Paweł II – </w:t>
      </w:r>
      <w:proofErr w:type="spellStart"/>
      <w:r w:rsidRPr="003874C0">
        <w:rPr>
          <w:rStyle w:val="TytuZnak"/>
          <w:b w:val="0"/>
          <w:bCs w:val="0"/>
        </w:rPr>
        <w:t>Totus</w:t>
      </w:r>
      <w:proofErr w:type="spellEnd"/>
      <w:r w:rsidRPr="003874C0">
        <w:rPr>
          <w:rStyle w:val="TytuZnak"/>
          <w:b w:val="0"/>
          <w:bCs w:val="0"/>
        </w:rPr>
        <w:t xml:space="preserve"> </w:t>
      </w:r>
      <w:proofErr w:type="spellStart"/>
      <w:r w:rsidRPr="003874C0">
        <w:rPr>
          <w:rStyle w:val="TytuZnak"/>
          <w:b w:val="0"/>
          <w:bCs w:val="0"/>
        </w:rPr>
        <w:t>Tuus</w:t>
      </w:r>
      <w:proofErr w:type="spellEnd"/>
    </w:p>
    <w:p w14:paraId="5EE3A207" w14:textId="73516601" w:rsidR="00407897" w:rsidRPr="0082604E" w:rsidRDefault="003874C0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2419C" wp14:editId="2C77567A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3623893" cy="2038350"/>
            <wp:effectExtent l="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9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604E">
        <w:rPr>
          <w:rFonts w:asciiTheme="minorHAnsi" w:hAnsiTheme="minorHAnsi" w:cstheme="minorHAnsi"/>
          <w:shd w:val="clear" w:color="auto" w:fill="FFFFFF"/>
        </w:rPr>
        <w:t xml:space="preserve"> </w:t>
      </w:r>
      <w:r w:rsidR="00115107" w:rsidRPr="0082604E">
        <w:rPr>
          <w:rFonts w:asciiTheme="minorHAnsi" w:hAnsiTheme="minorHAnsi" w:cstheme="minorHAnsi"/>
          <w:shd w:val="clear" w:color="auto" w:fill="FFFFFF"/>
        </w:rPr>
        <w:t xml:space="preserve">5. (…) </w:t>
      </w:r>
      <w:r w:rsidR="00407897" w:rsidRPr="0082604E">
        <w:rPr>
          <w:rFonts w:asciiTheme="minorHAnsi" w:hAnsiTheme="minorHAnsi" w:cstheme="minorHAnsi"/>
          <w:shd w:val="clear" w:color="auto" w:fill="FFFFFF"/>
        </w:rPr>
        <w:t>W niniejszych rozważaniach pragnę jednak nawiązać nade wszystko do owej „pielgrzymki wiary”, w której „Błogosławiona Dziewica szła naprzód (...) utrzymując wiernie swe zjednoczenie z Chrystusem”</w:t>
      </w:r>
      <w:r w:rsidR="0093301E" w:rsidRPr="0082604E">
        <w:rPr>
          <w:rFonts w:asciiTheme="minorHAnsi" w:hAnsiTheme="minorHAnsi" w:cstheme="minorHAnsi"/>
          <w:shd w:val="clear" w:color="auto" w:fill="FFFFFF"/>
          <w:vertAlign w:val="superscript"/>
        </w:rPr>
        <w:t xml:space="preserve"> </w:t>
      </w:r>
      <w:r w:rsidR="0093301E" w:rsidRPr="0082604E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93301E" w:rsidRPr="0082604E">
        <w:rPr>
          <w:rFonts w:ascii="Arial" w:hAnsi="Arial" w:cs="Arial"/>
          <w:sz w:val="16"/>
          <w:szCs w:val="16"/>
          <w:shd w:val="clear" w:color="auto" w:fill="FFFFFF"/>
        </w:rPr>
        <w:t xml:space="preserve">(SOBÓR WAT. II, </w:t>
      </w:r>
      <w:proofErr w:type="spellStart"/>
      <w:r w:rsidR="0093301E" w:rsidRPr="0082604E">
        <w:rPr>
          <w:rFonts w:ascii="Arial" w:hAnsi="Arial" w:cs="Arial"/>
          <w:sz w:val="16"/>
          <w:szCs w:val="16"/>
          <w:shd w:val="clear" w:color="auto" w:fill="FFFFFF"/>
        </w:rPr>
        <w:t>Konst</w:t>
      </w:r>
      <w:proofErr w:type="spellEnd"/>
      <w:r w:rsidR="0093301E" w:rsidRPr="0082604E">
        <w:rPr>
          <w:rFonts w:ascii="Arial" w:hAnsi="Arial" w:cs="Arial"/>
          <w:sz w:val="16"/>
          <w:szCs w:val="16"/>
          <w:shd w:val="clear" w:color="auto" w:fill="FFFFFF"/>
        </w:rPr>
        <w:t>. dogm. o Kościele </w:t>
      </w:r>
      <w:r w:rsidR="0093301E" w:rsidRPr="0082604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Lumen </w:t>
      </w:r>
      <w:proofErr w:type="spellStart"/>
      <w:r w:rsidR="0093301E" w:rsidRPr="0082604E">
        <w:rPr>
          <w:rFonts w:ascii="Arial" w:hAnsi="Arial" w:cs="Arial"/>
          <w:i/>
          <w:iCs/>
          <w:sz w:val="16"/>
          <w:szCs w:val="16"/>
          <w:shd w:val="clear" w:color="auto" w:fill="FFFFFF"/>
        </w:rPr>
        <w:t>gentium</w:t>
      </w:r>
      <w:proofErr w:type="spellEnd"/>
      <w:r w:rsidR="0093301E" w:rsidRPr="0082604E">
        <w:rPr>
          <w:rFonts w:ascii="Arial" w:hAnsi="Arial" w:cs="Arial"/>
          <w:sz w:val="16"/>
          <w:szCs w:val="16"/>
          <w:shd w:val="clear" w:color="auto" w:fill="FFFFFF"/>
        </w:rPr>
        <w:t>, 58)</w:t>
      </w:r>
      <w:r w:rsidR="00407897" w:rsidRPr="0082604E">
        <w:rPr>
          <w:rFonts w:asciiTheme="minorHAnsi" w:hAnsiTheme="minorHAnsi" w:cstheme="minorHAnsi"/>
          <w:sz w:val="16"/>
          <w:szCs w:val="16"/>
          <w:shd w:val="clear" w:color="auto" w:fill="FFFFFF"/>
        </w:rPr>
        <w:t>.</w:t>
      </w:r>
      <w:r w:rsidR="00407897" w:rsidRPr="0082604E">
        <w:rPr>
          <w:rFonts w:asciiTheme="minorHAnsi" w:hAnsiTheme="minorHAnsi" w:cstheme="minorHAnsi"/>
          <w:shd w:val="clear" w:color="auto" w:fill="FFFFFF"/>
        </w:rPr>
        <w:t xml:space="preserve"> W ten sposób </w:t>
      </w:r>
      <w:r w:rsidR="00407897" w:rsidRPr="0082604E">
        <w:rPr>
          <w:rFonts w:asciiTheme="minorHAnsi" w:hAnsiTheme="minorHAnsi" w:cstheme="minorHAnsi"/>
          <w:i/>
          <w:iCs/>
          <w:shd w:val="clear" w:color="auto" w:fill="FFFFFF"/>
        </w:rPr>
        <w:t>owa dwoista więź,</w:t>
      </w:r>
      <w:r w:rsidR="00407897" w:rsidRPr="0082604E">
        <w:rPr>
          <w:rFonts w:asciiTheme="minorHAnsi" w:hAnsiTheme="minorHAnsi" w:cstheme="minorHAnsi"/>
          <w:shd w:val="clear" w:color="auto" w:fill="FFFFFF"/>
        </w:rPr>
        <w:t> jaka łączy Bogarodzicę z </w:t>
      </w:r>
      <w:r w:rsidR="00407897" w:rsidRPr="0082604E">
        <w:rPr>
          <w:rFonts w:asciiTheme="minorHAnsi" w:hAnsiTheme="minorHAnsi" w:cstheme="minorHAnsi"/>
          <w:i/>
          <w:iCs/>
          <w:shd w:val="clear" w:color="auto" w:fill="FFFFFF"/>
        </w:rPr>
        <w:t>Chrystusem</w:t>
      </w:r>
      <w:r w:rsidR="00407897" w:rsidRPr="0082604E">
        <w:rPr>
          <w:rFonts w:asciiTheme="minorHAnsi" w:hAnsiTheme="minorHAnsi" w:cstheme="minorHAnsi"/>
          <w:shd w:val="clear" w:color="auto" w:fill="FFFFFF"/>
        </w:rPr>
        <w:t xml:space="preserve"> i Kościołem nabiera znaczenia historycznego. Nie tylko chodzi tutaj o dzieje samej Dziewicy-Matki, o Jej szczególną drogę </w:t>
      </w:r>
      <w:r w:rsidR="00115107" w:rsidRPr="0082604E">
        <w:rPr>
          <w:rFonts w:asciiTheme="minorHAnsi" w:hAnsiTheme="minorHAnsi" w:cstheme="minorHAnsi"/>
          <w:shd w:val="clear" w:color="auto" w:fill="FFFFFF"/>
        </w:rPr>
        <w:t>w</w:t>
      </w:r>
      <w:r w:rsidR="00407897" w:rsidRPr="0082604E">
        <w:rPr>
          <w:rFonts w:asciiTheme="minorHAnsi" w:hAnsiTheme="minorHAnsi" w:cstheme="minorHAnsi"/>
          <w:shd w:val="clear" w:color="auto" w:fill="FFFFFF"/>
        </w:rPr>
        <w:t>iary oraz „najlepszą cząstkę” w tajemnicy zbawienia, ale równocześnie o dzieje całego Ludu Bożego, o </w:t>
      </w:r>
      <w:r w:rsidR="00407897" w:rsidRPr="0082604E">
        <w:rPr>
          <w:rFonts w:asciiTheme="minorHAnsi" w:hAnsiTheme="minorHAnsi" w:cstheme="minorHAnsi"/>
          <w:i/>
          <w:iCs/>
          <w:shd w:val="clear" w:color="auto" w:fill="FFFFFF"/>
        </w:rPr>
        <w:t>wszystkich, którzy uczestniczą</w:t>
      </w:r>
      <w:r w:rsidR="00407897" w:rsidRPr="0082604E">
        <w:rPr>
          <w:rFonts w:asciiTheme="minorHAnsi" w:hAnsiTheme="minorHAnsi" w:cstheme="minorHAnsi"/>
          <w:shd w:val="clear" w:color="auto" w:fill="FFFFFF"/>
        </w:rPr>
        <w:t> w tejże samej </w:t>
      </w:r>
      <w:r w:rsidR="00407897" w:rsidRPr="0082604E">
        <w:rPr>
          <w:rFonts w:asciiTheme="minorHAnsi" w:hAnsiTheme="minorHAnsi" w:cstheme="minorHAnsi"/>
          <w:i/>
          <w:iCs/>
          <w:shd w:val="clear" w:color="auto" w:fill="FFFFFF"/>
        </w:rPr>
        <w:t>pielgrzymce</w:t>
      </w:r>
      <w:r w:rsidR="00407897" w:rsidRPr="0082604E">
        <w:rPr>
          <w:rFonts w:asciiTheme="minorHAnsi" w:hAnsiTheme="minorHAnsi" w:cstheme="minorHAnsi"/>
          <w:shd w:val="clear" w:color="auto" w:fill="FFFFFF"/>
        </w:rPr>
        <w:t> wiary.</w:t>
      </w:r>
    </w:p>
    <w:p w14:paraId="6680965C" w14:textId="259A5684" w:rsidR="00407897" w:rsidRPr="0082604E" w:rsidRDefault="00407897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Sobór daje temu wyraz stwierdzając na innym miejscu, że Maryja „przodowała”, stając się „pierwowzorem Kościoła, w porządku wiary, miłości i doskonałego zjednoczenia z Chrystusem”</w:t>
      </w:r>
      <w:r w:rsidR="00115107" w:rsidRPr="0082604E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115107" w:rsidRPr="0082604E">
        <w:rPr>
          <w:rFonts w:asciiTheme="minorHAnsi" w:eastAsia="Times New Roman" w:hAnsiTheme="minorHAnsi" w:cstheme="minorHAnsi"/>
          <w:kern w:val="0"/>
          <w:sz w:val="16"/>
          <w:szCs w:val="16"/>
          <w:lang w:eastAsia="pl-PL"/>
        </w:rPr>
        <w:t>(tamże, 63).</w:t>
      </w:r>
      <w:r w:rsidR="00115107" w:rsidRPr="0082604E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Owo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wzorcze „przodowanie”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odnosi się do samej wewnętrznej tajemnicy Kościoła, który widzi wypełnienie swej zbawczej misji, łącząc w sobie — podobnie jak Maryja — właściwości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matki i dziewicy.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„Jest dziewicą, która nieskazitelnie i w czystości dochowuje wiary danej Oblubieńcowi” i która „staje się (...) matką: rodzi bowiem do nowego i nieśmiertelnego życia synów z Ducha Świętego poczętych i z Boga zrodzonych</w:t>
      </w:r>
      <w:r w:rsidR="00115107" w:rsidRPr="0082604E">
        <w:rPr>
          <w:rFonts w:asciiTheme="minorHAnsi" w:eastAsia="Times New Roman" w:hAnsiTheme="minorHAnsi" w:cstheme="minorHAnsi"/>
          <w:kern w:val="0"/>
          <w:lang w:eastAsia="pl-PL"/>
        </w:rPr>
        <w:t xml:space="preserve">” </w:t>
      </w:r>
      <w:r w:rsidR="00115107" w:rsidRPr="0082604E">
        <w:rPr>
          <w:rFonts w:asciiTheme="minorHAnsi" w:eastAsia="Times New Roman" w:hAnsiTheme="minorHAnsi" w:cstheme="minorHAnsi"/>
          <w:kern w:val="0"/>
          <w:sz w:val="16"/>
          <w:szCs w:val="16"/>
          <w:lang w:eastAsia="pl-PL"/>
        </w:rPr>
        <w:t>(tamże, 64).</w:t>
      </w:r>
    </w:p>
    <w:p w14:paraId="453D2180" w14:textId="371D745D" w:rsidR="00407897" w:rsidRPr="0082604E" w:rsidRDefault="00407897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6. Wszystko to dokonuje się w wielkim dziejowym procesie — niejako „w drodze”.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Pielgrzymowanie wiary wskazuje na dzieje wewnętrzne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, można powiedzieć: na „dzieje dusz”. Równocześnie jednak są to dzieje ludzi, poddanych na tej ziemi przemijaniu, objętych wymiarem historii. </w:t>
      </w:r>
      <w:r w:rsidR="00115107" w:rsidRPr="0082604E">
        <w:rPr>
          <w:rFonts w:asciiTheme="minorHAnsi" w:hAnsiTheme="minorHAnsi" w:cstheme="minorHAnsi"/>
          <w:shd w:val="clear" w:color="auto" w:fill="FFFFFF"/>
        </w:rPr>
        <w:t>(…)</w:t>
      </w:r>
      <w:r w:rsidRPr="0082604E">
        <w:rPr>
          <w:rFonts w:asciiTheme="minorHAnsi" w:hAnsiTheme="minorHAnsi" w:cstheme="minorHAnsi"/>
          <w:shd w:val="clear" w:color="auto" w:fill="FFFFFF"/>
        </w:rPr>
        <w:t xml:space="preserve"> Jeżeli wznoszą oni ku Niej oczy na różnych miejscach ziemskiego bytowania, to dlatego, że „zrodziła Syna, którego Bóg ustanowił pierworodnym między wielu braćmi (</w:t>
      </w:r>
      <w:proofErr w:type="spellStart"/>
      <w:r w:rsidRPr="0082604E">
        <w:rPr>
          <w:rFonts w:asciiTheme="minorHAnsi" w:hAnsiTheme="minorHAnsi" w:cstheme="minorHAnsi"/>
          <w:i/>
          <w:iCs/>
          <w:shd w:val="clear" w:color="auto" w:fill="FFFFFF"/>
        </w:rPr>
        <w:t>Rz</w:t>
      </w:r>
      <w:proofErr w:type="spellEnd"/>
      <w:r w:rsidRPr="0082604E">
        <w:rPr>
          <w:rFonts w:asciiTheme="minorHAnsi" w:hAnsiTheme="minorHAnsi" w:cstheme="minorHAnsi"/>
          <w:shd w:val="clear" w:color="auto" w:fill="FFFFFF"/>
        </w:rPr>
        <w:t> 8, 29)” — a także dlatego, iż „w zrodzeniu i wychowywaniu” tychże braci i sióstr Maryja „współdziałała swą macierzyńską miłością”</w:t>
      </w:r>
      <w:r w:rsidR="00EB663A" w:rsidRPr="0082604E">
        <w:rPr>
          <w:rFonts w:asciiTheme="minorHAnsi" w:hAnsiTheme="minorHAnsi" w:cstheme="minorHAnsi"/>
          <w:sz w:val="16"/>
          <w:szCs w:val="16"/>
          <w:shd w:val="clear" w:color="auto" w:fill="FFFFFF"/>
        </w:rPr>
        <w:t>(tamże, 63)</w:t>
      </w:r>
      <w:r w:rsidRPr="0082604E">
        <w:rPr>
          <w:rFonts w:asciiTheme="minorHAnsi" w:hAnsiTheme="minorHAnsi" w:cstheme="minorHAnsi"/>
          <w:sz w:val="16"/>
          <w:szCs w:val="16"/>
          <w:shd w:val="clear" w:color="auto" w:fill="FFFFFF"/>
        </w:rPr>
        <w:t>.</w:t>
      </w:r>
      <w:r w:rsidR="00F25E8C" w:rsidRPr="0082604E">
        <w:rPr>
          <w:rFonts w:asciiTheme="minorHAnsi" w:hAnsiTheme="minorHAnsi" w:cstheme="minorHAnsi"/>
          <w:shd w:val="clear" w:color="auto" w:fill="FFFFFF"/>
        </w:rPr>
        <w:t xml:space="preserve"> (…)</w:t>
      </w:r>
    </w:p>
    <w:p w14:paraId="0914448A" w14:textId="77777777" w:rsidR="00122DC6" w:rsidRDefault="00EB663A" w:rsidP="000B0448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2604E">
        <w:rPr>
          <w:rFonts w:asciiTheme="minorHAnsi" w:hAnsiTheme="minorHAnsi" w:cstheme="minorHAnsi"/>
          <w:shd w:val="clear" w:color="auto" w:fill="FFFFFF"/>
        </w:rPr>
        <w:t xml:space="preserve">11. </w:t>
      </w:r>
      <w:r w:rsidR="00122DC6" w:rsidRPr="00122DC6">
        <w:rPr>
          <w:rFonts w:asciiTheme="minorHAnsi" w:hAnsiTheme="minorHAnsi" w:cstheme="minorHAnsi"/>
          <w:shd w:val="clear" w:color="auto" w:fill="FFFFFF"/>
        </w:rPr>
        <w:t xml:space="preserve">Tajemnica Wcielenia stanowi w zbawczym zamierzeniu Trójcy Przenajświętszej wypełnienie </w:t>
      </w:r>
      <w:proofErr w:type="spellStart"/>
      <w:r w:rsidR="00122DC6" w:rsidRPr="00122DC6">
        <w:rPr>
          <w:rFonts w:asciiTheme="minorHAnsi" w:hAnsiTheme="minorHAnsi" w:cstheme="minorHAnsi"/>
          <w:shd w:val="clear" w:color="auto" w:fill="FFFFFF"/>
        </w:rPr>
        <w:t>ponadobfite</w:t>
      </w:r>
      <w:proofErr w:type="spellEnd"/>
      <w:r w:rsidR="00122DC6" w:rsidRPr="00122DC6">
        <w:rPr>
          <w:rFonts w:asciiTheme="minorHAnsi" w:hAnsiTheme="minorHAnsi" w:cstheme="minorHAnsi"/>
          <w:shd w:val="clear" w:color="auto" w:fill="FFFFFF"/>
        </w:rPr>
        <w:t xml:space="preserve"> obietnicy danej ludziom przez Boga po grzechu pierworodnym: po owym pierwszym grzechu, którego skutki obciążają całe dzieje człowieka na ziemi (por. Rdz 3, 15). Oto przychodzi na świat Syn, „potomek niewiasty”, który „zmiażdży głowę węża”. Jak wynika ze słów </w:t>
      </w:r>
      <w:proofErr w:type="spellStart"/>
      <w:r w:rsidR="00122DC6" w:rsidRPr="00122DC6">
        <w:rPr>
          <w:rFonts w:asciiTheme="minorHAnsi" w:hAnsiTheme="minorHAnsi" w:cstheme="minorHAnsi"/>
          <w:shd w:val="clear" w:color="auto" w:fill="FFFFFF"/>
        </w:rPr>
        <w:t>protoewangelii</w:t>
      </w:r>
      <w:proofErr w:type="spellEnd"/>
      <w:r w:rsidR="00122DC6" w:rsidRPr="00122DC6">
        <w:rPr>
          <w:rFonts w:asciiTheme="minorHAnsi" w:hAnsiTheme="minorHAnsi" w:cstheme="minorHAnsi"/>
          <w:shd w:val="clear" w:color="auto" w:fill="FFFFFF"/>
        </w:rPr>
        <w:t>, zwycięstwo Syna niewiasty nie dokona się bez ciężkiej walki, która ma wypełnić całe ludzkie dzieje. „</w:t>
      </w:r>
      <w:proofErr w:type="spellStart"/>
      <w:r w:rsidR="00122DC6" w:rsidRPr="00122DC6">
        <w:rPr>
          <w:rFonts w:asciiTheme="minorHAnsi" w:hAnsiTheme="minorHAnsi" w:cstheme="minorHAnsi"/>
          <w:shd w:val="clear" w:color="auto" w:fill="FFFFFF"/>
        </w:rPr>
        <w:t>Nieprzyjaźń</w:t>
      </w:r>
      <w:proofErr w:type="spellEnd"/>
      <w:r w:rsidR="00122DC6" w:rsidRPr="00122DC6">
        <w:rPr>
          <w:rFonts w:asciiTheme="minorHAnsi" w:hAnsiTheme="minorHAnsi" w:cstheme="minorHAnsi"/>
          <w:shd w:val="clear" w:color="auto" w:fill="FFFFFF"/>
        </w:rPr>
        <w:t>” zapowiedziana na początku, zostaje potwierdzona w Apokalipsie, która jest „księgą spraw ostatecznych” Kościoła i świata, gdzie znowu powraca znak „Niewiasty”, tym razem: „obleczonej w słońce” (por. 12, 1).</w:t>
      </w:r>
      <w:r w:rsidR="00122DC6" w:rsidRPr="00122DC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6EBA1EB" w14:textId="2F1D10A5" w:rsidR="00EA2823" w:rsidRPr="0082604E" w:rsidRDefault="00E50945" w:rsidP="000B0448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="Arial" w:hAnsi="Arial" w:cs="Arial"/>
          <w:sz w:val="27"/>
          <w:szCs w:val="27"/>
        </w:rPr>
      </w:pPr>
      <w:r w:rsidRPr="0082604E">
        <w:rPr>
          <w:rFonts w:asciiTheme="minorHAnsi" w:hAnsiTheme="minorHAnsi" w:cstheme="minorHAnsi"/>
          <w:shd w:val="clear" w:color="auto" w:fill="FFFFFF"/>
        </w:rPr>
        <w:t>Maryja, Matka Słowa Wcielonego, zostaje wprowadzona </w:t>
      </w:r>
      <w:r w:rsidRPr="0082604E">
        <w:rPr>
          <w:rFonts w:asciiTheme="minorHAnsi" w:hAnsiTheme="minorHAnsi" w:cstheme="minorHAnsi"/>
          <w:i/>
          <w:iCs/>
          <w:shd w:val="clear" w:color="auto" w:fill="FFFFFF"/>
        </w:rPr>
        <w:t>w samo centrum owej nieprzyjaźni</w:t>
      </w:r>
      <w:r w:rsidRPr="0082604E">
        <w:rPr>
          <w:rFonts w:asciiTheme="minorHAnsi" w:hAnsiTheme="minorHAnsi" w:cstheme="minorHAnsi"/>
          <w:shd w:val="clear" w:color="auto" w:fill="FFFFFF"/>
        </w:rPr>
        <w:t>, owego zmagania, jakie towarzyszy dziejom ludzkości na ziemi, a zarazem dziejom zbawienia. Należąc do „ubogich i pokornych Pana”, Maryja nosi w sobie, jak nikt inny wśród ludzi, ów „majestat łaski”, jaką Ojciec „obdarzył nas w Umiłowanym”, </w:t>
      </w:r>
      <w:r w:rsidRPr="0082604E">
        <w:rPr>
          <w:rFonts w:asciiTheme="minorHAnsi" w:hAnsiTheme="minorHAnsi" w:cstheme="minorHAnsi"/>
          <w:i/>
          <w:iCs/>
          <w:shd w:val="clear" w:color="auto" w:fill="FFFFFF"/>
        </w:rPr>
        <w:t>a łaska</w:t>
      </w:r>
      <w:r w:rsidRPr="0082604E">
        <w:rPr>
          <w:rFonts w:asciiTheme="minorHAnsi" w:hAnsiTheme="minorHAnsi" w:cstheme="minorHAnsi"/>
          <w:shd w:val="clear" w:color="auto" w:fill="FFFFFF"/>
        </w:rPr>
        <w:t> ta </w:t>
      </w:r>
      <w:r w:rsidRPr="0082604E">
        <w:rPr>
          <w:rFonts w:asciiTheme="minorHAnsi" w:hAnsiTheme="minorHAnsi" w:cstheme="minorHAnsi"/>
          <w:i/>
          <w:iCs/>
          <w:shd w:val="clear" w:color="auto" w:fill="FFFFFF"/>
        </w:rPr>
        <w:t>stanowi o niezwykłej wielkości i pięknie</w:t>
      </w:r>
      <w:r w:rsidRPr="0082604E">
        <w:rPr>
          <w:rFonts w:asciiTheme="minorHAnsi" w:hAnsiTheme="minorHAnsi" w:cstheme="minorHAnsi"/>
          <w:shd w:val="clear" w:color="auto" w:fill="FFFFFF"/>
        </w:rPr>
        <w:t> całej Jej ludzkiej istoty. Maryja pozostaje w ten sposób wobec Boga, a także wobec całej ludzkości jakby niezmiennym i nienaruszonym znakiem tego Bożego wybrania, o jakim mówi List Pawłowy: „w Chrystusie (...) wybrał nas przed założeniem świata (...) i przeznaczył dla siebie jako przybranych synów” (</w:t>
      </w:r>
      <w:r w:rsidRPr="0082604E">
        <w:rPr>
          <w:rFonts w:asciiTheme="minorHAnsi" w:hAnsiTheme="minorHAnsi" w:cstheme="minorHAnsi"/>
          <w:i/>
          <w:iCs/>
          <w:shd w:val="clear" w:color="auto" w:fill="FFFFFF"/>
        </w:rPr>
        <w:t>Ef</w:t>
      </w:r>
      <w:r w:rsidRPr="0082604E">
        <w:rPr>
          <w:rFonts w:asciiTheme="minorHAnsi" w:hAnsiTheme="minorHAnsi" w:cstheme="minorHAnsi"/>
          <w:shd w:val="clear" w:color="auto" w:fill="FFFFFF"/>
        </w:rPr>
        <w:t> 1, 4. S). Wybranie to jest potężniejsze od wszelkich doświadczeń zła i grzechu, od całej owej „nieprzyjaźni”, jaką naznaczone są ziemskie dzieje człowieka. Maryja pozostaje w tych dziejach znakiem niezawodnej nadziei.</w:t>
      </w:r>
      <w:r w:rsidR="00F25E8C" w:rsidRPr="0082604E">
        <w:rPr>
          <w:rFonts w:asciiTheme="minorHAnsi" w:hAnsiTheme="minorHAnsi" w:cstheme="minorHAnsi"/>
          <w:shd w:val="clear" w:color="auto" w:fill="FFFFFF"/>
        </w:rPr>
        <w:t xml:space="preserve"> (…)</w:t>
      </w:r>
    </w:p>
    <w:p w14:paraId="57D3C198" w14:textId="77777777" w:rsidR="005603AF" w:rsidRPr="0082604E" w:rsidRDefault="005603AF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23. Jeżeli zapis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Ewangelii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Janowej o Kanie Galilejskiej mówi o macierzyńskiej trosce Maryi u początku mesjańskiej działalności Chrystusa, to istnieje inny jeszcze zapis tej samej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Ewangelii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, który owo Maryjne macierzyństwo w zbawczej ekonomii łaski potwierdza w momencie szczytowym, to znaczy wówczas, gdy spełnia się ofiara krzyżowa Chrystusa, Jego paschalna tajemnica. Zapis Janowy jest zwięzły: „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obok krzyża Jezusowego stały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: Matka Jego i siostra Matki Jego, Maria, żona Kleofasa, i Maria Magdalena. Kiedy więc Jezus ujrzał Matkę i stojącego obok Niej ucznia, którego miłował, rzekł do Matki: «Niewiasto, oto syn Twój». Następnie rzekł do ucznia: «Oto Matka twoja». I od tej godziny uczeń wziął Ją do siebie” (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J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19, 25-27).</w:t>
      </w:r>
    </w:p>
    <w:p w14:paraId="71B6D056" w14:textId="2160B4AF" w:rsidR="005603AF" w:rsidRPr="0082604E" w:rsidRDefault="005603AF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 xml:space="preserve">Niewątpliwie trzeba widzieć w tym wydarzeniu wyraz szczególnej troski Syna o Matkę, którą pozostawiał w tak wielkiej boleści. Jednakże o znaczeniu tej troski Chrystusowy „testament z Krzyża” mówi więcej. Jezus uwydatnia nową więź pomiędzy „Matką” a „Synem”. Ta więź zostaje uroczyście potwierdzona w całej swojej prawdzie i rzeczywistości. Można powiedzieć, że — o ile uprzednio macierzyństwo Maryi względem ludzi było już zarysowane 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lastRenderedPageBreak/>
        <w:t>— w tej chwili zostaje ono wyraźnie określone i ustanowione: wyłania się zaś z całej dojrzałości paschalnej Tajemnicy Odkupiciela. Matka Chrystusa, znajdując się w bezpośrednim zasięgu tej tajemnicy, która ogarnia człowieka — każdego i wszystkich — zostaje dana człowiekowi każdemu i wszystkim — jako Matka. Tym człowiekiem u stóp Krzyża jest Jan, „uczeń umiłowany”. Jednakże nie tylko on jeden. Zgodnie z Tradycją Sobór nie waha się nazywać Maryi Matką Chrystusa i Matką ludzi: jest Ona bowiem „złączona z wszystkimi ludźmi (...) pochodzeniem z rodu Adama, a co więcej, jest «zgoła matką członków (Chrystusowych; ...) ponieważ miłością swoją współdziałała, aby wierni rodzili się w Kościele»”</w:t>
      </w:r>
      <w:hyperlink r:id="rId8" w:anchor="p48" w:history="1">
        <w:r w:rsidR="00451D46" w:rsidRPr="0082604E">
          <w:rPr>
            <w:rFonts w:ascii="Arial" w:hAnsi="Arial" w:cs="Arial"/>
            <w:sz w:val="16"/>
            <w:szCs w:val="16"/>
            <w:shd w:val="clear" w:color="auto" w:fill="FFFFFF"/>
          </w:rPr>
          <w:t xml:space="preserve">(SOBÓR WAT. II, </w:t>
        </w:r>
        <w:proofErr w:type="spellStart"/>
        <w:r w:rsidR="00451D46" w:rsidRPr="0082604E">
          <w:rPr>
            <w:rFonts w:ascii="Arial" w:hAnsi="Arial" w:cs="Arial"/>
            <w:sz w:val="16"/>
            <w:szCs w:val="16"/>
            <w:shd w:val="clear" w:color="auto" w:fill="FFFFFF"/>
          </w:rPr>
          <w:t>Konst</w:t>
        </w:r>
        <w:proofErr w:type="spellEnd"/>
        <w:r w:rsidR="00451D46" w:rsidRPr="0082604E">
          <w:rPr>
            <w:rFonts w:ascii="Arial" w:hAnsi="Arial" w:cs="Arial"/>
            <w:sz w:val="16"/>
            <w:szCs w:val="16"/>
            <w:shd w:val="clear" w:color="auto" w:fill="FFFFFF"/>
          </w:rPr>
          <w:t>. dogm. o Kościele </w:t>
        </w:r>
        <w:r w:rsidR="00451D46" w:rsidRPr="0082604E">
          <w:rPr>
            <w:rFonts w:ascii="Arial" w:hAnsi="Arial" w:cs="Arial"/>
            <w:i/>
            <w:iCs/>
            <w:sz w:val="16"/>
            <w:szCs w:val="16"/>
            <w:shd w:val="clear" w:color="auto" w:fill="FFFFFF"/>
          </w:rPr>
          <w:t xml:space="preserve">Lumen </w:t>
        </w:r>
        <w:proofErr w:type="spellStart"/>
        <w:r w:rsidR="00451D46" w:rsidRPr="0082604E">
          <w:rPr>
            <w:rFonts w:ascii="Arial" w:hAnsi="Arial" w:cs="Arial"/>
            <w:i/>
            <w:iCs/>
            <w:sz w:val="16"/>
            <w:szCs w:val="16"/>
            <w:shd w:val="clear" w:color="auto" w:fill="FFFFFF"/>
          </w:rPr>
          <w:t>gentium</w:t>
        </w:r>
        <w:proofErr w:type="spellEnd"/>
        <w:r w:rsidR="00451D46" w:rsidRPr="0082604E">
          <w:rPr>
            <w:rFonts w:ascii="Arial" w:hAnsi="Arial" w:cs="Arial"/>
            <w:sz w:val="16"/>
            <w:szCs w:val="16"/>
            <w:shd w:val="clear" w:color="auto" w:fill="FFFFFF"/>
          </w:rPr>
          <w:t>, 58)</w:t>
        </w:r>
      </w:hyperlink>
      <w:r w:rsidRPr="0082604E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0D637792" w14:textId="77777777" w:rsidR="005603AF" w:rsidRPr="0082604E" w:rsidRDefault="005603AF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Tak więc, to „nowe macierzyństwo Maryi”, zrodzone przez wiarę, jest owocem „nowej” miłości, która ostatecznie dojrzała w Niej u stóp Krzyża, poprzez uczestnictwo w odkupieńczej miłości Syna.</w:t>
      </w:r>
    </w:p>
    <w:p w14:paraId="3BEEC720" w14:textId="7CC36AC8" w:rsidR="005603AF" w:rsidRPr="00B776BF" w:rsidRDefault="005603AF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 xml:space="preserve">24. Znajdujemy się zarazem w samym centrum urzeczywistniania obietnicy zawartej w </w:t>
      </w:r>
      <w:proofErr w:type="spellStart"/>
      <w:r w:rsidRPr="0082604E">
        <w:rPr>
          <w:rFonts w:asciiTheme="minorHAnsi" w:eastAsia="Times New Roman" w:hAnsiTheme="minorHAnsi" w:cstheme="minorHAnsi"/>
          <w:kern w:val="0"/>
          <w:lang w:eastAsia="pl-PL"/>
        </w:rPr>
        <w:t>protoewangelii</w:t>
      </w:r>
      <w:proofErr w:type="spellEnd"/>
      <w:r w:rsidRPr="0082604E">
        <w:rPr>
          <w:rFonts w:asciiTheme="minorHAnsi" w:eastAsia="Times New Roman" w:hAnsiTheme="minorHAnsi" w:cstheme="minorHAnsi"/>
          <w:kern w:val="0"/>
          <w:lang w:eastAsia="pl-PL"/>
        </w:rPr>
        <w:t>: „potomstwo niewiasty zmiażdży głowę węża” (por.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Rdz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3, 15). Jezus Chrystus bowiem swą odkupieńczą śmiercią zwycięża zło grzechu i śmierci u samego korzenia. Jest rzeczą znamienną, iż zwracając się do Matki z wysokości Krzyża nazywa Ją „niewiastą” i mówi do Niej: „Niewiasto, oto syn Twój”. Podobnie zresztą odezwał się i w Kanie Galilejskiej (por.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J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2, 4). Jakże wątpić, że zwłaszcza teraz — na Golgocie — zwrot ten sięga głębiej w tajemnicę Maryi i dotyka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Jej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szczególnego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„miejsca” w całej ekonomii zbawienia?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</w:t>
      </w:r>
      <w:r w:rsidR="00451D46">
        <w:rPr>
          <w:rFonts w:asciiTheme="minorHAnsi" w:eastAsia="Times New Roman" w:hAnsiTheme="minorHAnsi" w:cstheme="minorHAnsi"/>
          <w:kern w:val="0"/>
          <w:lang w:eastAsia="pl-PL"/>
        </w:rPr>
        <w:t>(…)</w:t>
      </w:r>
    </w:p>
    <w:p w14:paraId="5259DB1C" w14:textId="6A731CA6" w:rsidR="005603AF" w:rsidRPr="00B7136A" w:rsidRDefault="005603AF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Słowa wypowiedziane z wysokości Krzyża mówią o tym, że macierzyństwo Matki Chrystusa znajduje swoją „nową” kontynuację w Kościele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i przez Kościół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, jakby symbolicznie obecny i reprezentowany przez Jana. W ten sposób Ta, która jako „łaski pełna” została wprowadzona w tajemnicę Chrystusa, by być Jego Matką, czyli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Świętą Bożą Rodzicielką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, przez Kościół pozostaje w tej tajemnicy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jako owa „niewiasta”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, na którą wskazuje Księga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Rodzaju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(3, 15) u początku,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Apokalipsa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 xml:space="preserve"> zaś u kresu dziejów zbawienia (12, 1). Zgodnie z odwiecznym planem Opatrzności, macierzyństwo Boże Maryi ma udzielić się Kościołowi, jak na to wskazują wypowiedzi Tradycji, dla których macierzyństwo Maryi w odniesieniu do Kościoła jest odbiciem i przedłużeniem Jej macierzyństwa w odniesieniu do Syna </w:t>
      </w:r>
      <w:r w:rsidRPr="00B7136A">
        <w:rPr>
          <w:rFonts w:asciiTheme="minorHAnsi" w:eastAsia="Times New Roman" w:hAnsiTheme="minorHAnsi" w:cstheme="minorHAnsi"/>
          <w:kern w:val="0"/>
          <w:lang w:eastAsia="pl-PL"/>
        </w:rPr>
        <w:t>Bożego</w:t>
      </w:r>
      <w:hyperlink r:id="rId9" w:anchor="p50" w:history="1"/>
      <w:r w:rsidR="00B7136A" w:rsidRPr="00B7136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B7136A" w:rsidRPr="00B7136A">
        <w:rPr>
          <w:rFonts w:ascii="Arial" w:hAnsi="Arial" w:cs="Arial"/>
          <w:sz w:val="16"/>
          <w:szCs w:val="16"/>
          <w:shd w:val="clear" w:color="auto" w:fill="FFFFFF"/>
        </w:rPr>
        <w:t>(</w:t>
      </w:r>
      <w:r w:rsidR="00B7136A" w:rsidRPr="00B7136A">
        <w:rPr>
          <w:rFonts w:asciiTheme="minorHAnsi" w:hAnsiTheme="minorHAnsi" w:cstheme="minorHAnsi"/>
          <w:sz w:val="16"/>
          <w:szCs w:val="16"/>
          <w:shd w:val="clear" w:color="auto" w:fill="FFFFFF"/>
        </w:rPr>
        <w:t>Por. ŚW. LEON WIELKI, </w:t>
      </w:r>
      <w:proofErr w:type="spellStart"/>
      <w:r w:rsidR="00B7136A" w:rsidRPr="00B7136A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Tractatus</w:t>
      </w:r>
      <w:proofErr w:type="spellEnd"/>
      <w:r w:rsidR="00B7136A" w:rsidRPr="00B7136A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 26 de </w:t>
      </w:r>
      <w:proofErr w:type="spellStart"/>
      <w:r w:rsidR="00B7136A" w:rsidRPr="00B7136A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natale</w:t>
      </w:r>
      <w:proofErr w:type="spellEnd"/>
      <w:r w:rsidR="00B7136A" w:rsidRPr="00B7136A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 Domini</w:t>
      </w:r>
      <w:r w:rsidR="00B7136A" w:rsidRPr="00B7136A">
        <w:rPr>
          <w:rFonts w:asciiTheme="minorHAnsi" w:hAnsiTheme="minorHAnsi" w:cstheme="minorHAnsi"/>
          <w:sz w:val="16"/>
          <w:szCs w:val="16"/>
          <w:shd w:val="clear" w:color="auto" w:fill="FFFFFF"/>
        </w:rPr>
        <w:t>, 2: </w:t>
      </w:r>
      <w:r w:rsidR="00B7136A" w:rsidRPr="00B7136A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CCL</w:t>
      </w:r>
      <w:r w:rsidR="00B7136A" w:rsidRPr="00B7136A">
        <w:rPr>
          <w:rFonts w:asciiTheme="minorHAnsi" w:hAnsiTheme="minorHAnsi" w:cstheme="minorHAnsi"/>
          <w:sz w:val="16"/>
          <w:szCs w:val="16"/>
          <w:shd w:val="clear" w:color="auto" w:fill="FFFFFF"/>
        </w:rPr>
        <w:t> 138, 126</w:t>
      </w:r>
      <w:r w:rsidR="00B7136A" w:rsidRPr="00B7136A">
        <w:rPr>
          <w:rFonts w:asciiTheme="minorHAnsi" w:hAnsiTheme="minorHAnsi" w:cstheme="minorHAnsi"/>
          <w:sz w:val="16"/>
          <w:szCs w:val="16"/>
          <w:shd w:val="clear" w:color="auto" w:fill="FFFFFF"/>
        </w:rPr>
        <w:t>)</w:t>
      </w:r>
      <w:r w:rsidRPr="00B7136A">
        <w:rPr>
          <w:rFonts w:asciiTheme="minorHAnsi" w:eastAsia="Times New Roman" w:hAnsiTheme="minorHAnsi" w:cstheme="minorHAnsi"/>
          <w:kern w:val="0"/>
          <w:sz w:val="16"/>
          <w:szCs w:val="16"/>
          <w:lang w:eastAsia="pl-PL"/>
        </w:rPr>
        <w:t>.</w:t>
      </w:r>
    </w:p>
    <w:p w14:paraId="5C379BC2" w14:textId="74D59136" w:rsidR="005603AF" w:rsidRPr="0082604E" w:rsidRDefault="005603AF" w:rsidP="00186002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Już sam moment narodzin Kościoła, jego pełne objawienie się wobec świata pozwala — według Soboru — dostrzec to trwanie macierzyństwa Maryi: „A kiedy podobało się Bogu uroczyście objawić tajemnice zbawienia ludzkiego nie wcześniej, aż ześle obiecanego przez Chrystusa Ducha, widzimy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Apostołów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przed dniem Zielonych Świąt «trwających jednomyślnie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na modlitwie wraz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z niewiastami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i z Maryją Matką Jezusa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i z braćmi Jego» (</w:t>
      </w:r>
      <w:proofErr w:type="spellStart"/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Dz</w:t>
      </w:r>
      <w:proofErr w:type="spellEnd"/>
      <w:r w:rsidRPr="0082604E">
        <w:rPr>
          <w:rFonts w:asciiTheme="minorHAnsi" w:eastAsia="Times New Roman" w:hAnsiTheme="minorHAnsi" w:cstheme="minorHAnsi"/>
          <w:kern w:val="0"/>
          <w:lang w:eastAsia="pl-PL"/>
        </w:rPr>
        <w:t> 1, 14), także Maryję błagającą w modlitwach o dar Ducha, który podczas zwiastowania już Ją był zacienił”</w:t>
      </w:r>
      <w:r w:rsidR="00B7136A" w:rsidRPr="00B7136A">
        <w:t xml:space="preserve"> </w:t>
      </w:r>
      <w:hyperlink r:id="rId10" w:anchor="p48" w:history="1">
        <w:r w:rsidR="00B7136A" w:rsidRPr="0082604E">
          <w:rPr>
            <w:rFonts w:ascii="Arial" w:hAnsi="Arial" w:cs="Arial"/>
            <w:sz w:val="16"/>
            <w:szCs w:val="16"/>
            <w:shd w:val="clear" w:color="auto" w:fill="FFFFFF"/>
          </w:rPr>
          <w:t xml:space="preserve">(SOBÓR WAT. II, </w:t>
        </w:r>
        <w:proofErr w:type="spellStart"/>
        <w:r w:rsidR="00B7136A" w:rsidRPr="0082604E">
          <w:rPr>
            <w:rFonts w:ascii="Arial" w:hAnsi="Arial" w:cs="Arial"/>
            <w:sz w:val="16"/>
            <w:szCs w:val="16"/>
            <w:shd w:val="clear" w:color="auto" w:fill="FFFFFF"/>
          </w:rPr>
          <w:t>Konst</w:t>
        </w:r>
        <w:proofErr w:type="spellEnd"/>
        <w:r w:rsidR="00B7136A" w:rsidRPr="0082604E">
          <w:rPr>
            <w:rFonts w:ascii="Arial" w:hAnsi="Arial" w:cs="Arial"/>
            <w:sz w:val="16"/>
            <w:szCs w:val="16"/>
            <w:shd w:val="clear" w:color="auto" w:fill="FFFFFF"/>
          </w:rPr>
          <w:t>. dogm. o Kościele </w:t>
        </w:r>
        <w:r w:rsidR="00B7136A" w:rsidRPr="0082604E">
          <w:rPr>
            <w:rFonts w:ascii="Arial" w:hAnsi="Arial" w:cs="Arial"/>
            <w:i/>
            <w:iCs/>
            <w:sz w:val="16"/>
            <w:szCs w:val="16"/>
            <w:shd w:val="clear" w:color="auto" w:fill="FFFFFF"/>
          </w:rPr>
          <w:t xml:space="preserve">Lumen </w:t>
        </w:r>
        <w:proofErr w:type="spellStart"/>
        <w:r w:rsidR="00B7136A" w:rsidRPr="0082604E">
          <w:rPr>
            <w:rFonts w:ascii="Arial" w:hAnsi="Arial" w:cs="Arial"/>
            <w:i/>
            <w:iCs/>
            <w:sz w:val="16"/>
            <w:szCs w:val="16"/>
            <w:shd w:val="clear" w:color="auto" w:fill="FFFFFF"/>
          </w:rPr>
          <w:t>gentium</w:t>
        </w:r>
        <w:proofErr w:type="spellEnd"/>
        <w:r w:rsidR="00B7136A" w:rsidRPr="0082604E">
          <w:rPr>
            <w:rFonts w:ascii="Arial" w:hAnsi="Arial" w:cs="Arial"/>
            <w:sz w:val="16"/>
            <w:szCs w:val="16"/>
            <w:shd w:val="clear" w:color="auto" w:fill="FFFFFF"/>
          </w:rPr>
          <w:t>, 5</w:t>
        </w:r>
        <w:r w:rsidR="00B7136A">
          <w:rPr>
            <w:rFonts w:ascii="Arial" w:hAnsi="Arial" w:cs="Arial"/>
            <w:sz w:val="16"/>
            <w:szCs w:val="16"/>
            <w:shd w:val="clear" w:color="auto" w:fill="FFFFFF"/>
          </w:rPr>
          <w:t>9</w:t>
        </w:r>
        <w:r w:rsidR="00B7136A" w:rsidRPr="0082604E">
          <w:rPr>
            <w:rFonts w:ascii="Arial" w:hAnsi="Arial" w:cs="Arial"/>
            <w:sz w:val="16"/>
            <w:szCs w:val="16"/>
            <w:shd w:val="clear" w:color="auto" w:fill="FFFFFF"/>
          </w:rPr>
          <w:t>)</w:t>
        </w:r>
      </w:hyperlink>
      <w:r w:rsidRPr="0082604E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40161F4E" w14:textId="77777777" w:rsidR="007E7771" w:rsidRDefault="005603AF" w:rsidP="007E7771">
      <w:pPr>
        <w:widowControl/>
        <w:shd w:val="clear" w:color="auto" w:fill="FFFFFF"/>
        <w:suppressAutoHyphens w:val="0"/>
        <w:spacing w:after="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82604E">
        <w:rPr>
          <w:rFonts w:asciiTheme="minorHAnsi" w:eastAsia="Times New Roman" w:hAnsiTheme="minorHAnsi" w:cstheme="minorHAnsi"/>
          <w:kern w:val="0"/>
          <w:lang w:eastAsia="pl-PL"/>
        </w:rPr>
        <w:t>Tak więc w ekonomii łaski, sprawowanej pod działaniem Ducha Świętego, zachodzi szczególna odpowiedniość pomiędzy momentem Wcielenia Słowa a momentem narodzin Kościoła. Osobą, która łączy te dwa momenty, jest Maryja: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Maryja w Nazarecie — i — Maryja w Wieczerniku Zielonych Świąt.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 W obu wypadkach Jej obecność w sposób dyskretny, a równocześnie wymowny — ukazuje drogę „narodzin z Ducha”. W ten sposób Maryja, obecna w tajemnicy Chrystusa jako Matka, staje się — z woli Syna i za sprawą Ducha Świętego — obecna w tajemnicy Kościoła. Jest to nadal </w:t>
      </w:r>
      <w:r w:rsidRPr="0082604E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obecność macierzyńska</w:t>
      </w:r>
      <w:r w:rsidRPr="0082604E">
        <w:rPr>
          <w:rFonts w:asciiTheme="minorHAnsi" w:eastAsia="Times New Roman" w:hAnsiTheme="minorHAnsi" w:cstheme="minorHAnsi"/>
          <w:kern w:val="0"/>
          <w:lang w:eastAsia="pl-PL"/>
        </w:rPr>
        <w:t>, jak potwierdzają słowa wypowiedziane na Krzyżu: „Niewiasto, oto syn Twój”; „Oto Matka twoja”.</w:t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7E7771">
        <w:rPr>
          <w:rFonts w:asciiTheme="minorHAnsi" w:eastAsia="Times New Roman" w:hAnsiTheme="minorHAnsi" w:cstheme="minorHAnsi"/>
          <w:kern w:val="0"/>
          <w:lang w:eastAsia="pl-PL"/>
        </w:rPr>
        <w:tab/>
      </w:r>
    </w:p>
    <w:p w14:paraId="296A1FF1" w14:textId="43FC45FF" w:rsidR="00407897" w:rsidRPr="007E7771" w:rsidRDefault="005A7301" w:rsidP="007E7771">
      <w:pPr>
        <w:widowControl/>
        <w:shd w:val="clear" w:color="auto" w:fill="FFFFFF"/>
        <w:suppressAutoHyphens w:val="0"/>
        <w:spacing w:after="60"/>
        <w:jc w:val="right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</w:pPr>
      <w:r w:rsidRPr="007E7771"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  <w:t xml:space="preserve">(Jan </w:t>
      </w:r>
      <w:proofErr w:type="spellStart"/>
      <w:r w:rsidRPr="007E7771"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  <w:t>Paweł</w:t>
      </w:r>
      <w:proofErr w:type="spellEnd"/>
      <w:r w:rsidRPr="007E7771"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  <w:t xml:space="preserve"> II, </w:t>
      </w:r>
      <w:proofErr w:type="spellStart"/>
      <w:r w:rsidRPr="007E7771"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  <w:t>Redemptoris</w:t>
      </w:r>
      <w:proofErr w:type="spellEnd"/>
      <w:r w:rsidRPr="007E7771"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  <w:t xml:space="preserve"> Mater)</w:t>
      </w:r>
    </w:p>
    <w:p w14:paraId="2B2390CB" w14:textId="77777777" w:rsidR="005D710B" w:rsidRDefault="005D710B" w:rsidP="003874C0">
      <w:pPr>
        <w:widowControl/>
        <w:shd w:val="clear" w:color="auto" w:fill="FFFFFF"/>
        <w:suppressAutoHyphens w:val="0"/>
        <w:spacing w:after="60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</w:pPr>
    </w:p>
    <w:p w14:paraId="4D0BC3DE" w14:textId="4030CC8A" w:rsidR="00B7136A" w:rsidRPr="007E7771" w:rsidRDefault="00B7136A" w:rsidP="003874C0">
      <w:pPr>
        <w:widowControl/>
        <w:shd w:val="clear" w:color="auto" w:fill="FFFFFF"/>
        <w:suppressAutoHyphens w:val="0"/>
        <w:spacing w:after="60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pl-PL"/>
        </w:rPr>
        <w:sectPr w:rsidR="00B7136A" w:rsidRPr="007E7771">
          <w:headerReference w:type="default" r:id="rId11"/>
          <w:pgSz w:w="11906" w:h="16838"/>
          <w:pgMar w:top="694" w:right="919" w:bottom="495" w:left="919" w:header="637" w:footer="0" w:gutter="0"/>
          <w:pgBorders>
            <w:top w:val="single" w:sz="4" w:space="3" w:color="1F497D"/>
            <w:left w:val="single" w:sz="4" w:space="10" w:color="1F497D"/>
            <w:bottom w:val="single" w:sz="4" w:space="3" w:color="1F497D"/>
            <w:right w:val="single" w:sz="4" w:space="10" w:color="1F497D"/>
          </w:pgBorders>
          <w:cols w:space="708"/>
          <w:formProt w:val="0"/>
          <w:docGrid w:linePitch="100" w:charSpace="4096"/>
        </w:sectPr>
      </w:pPr>
    </w:p>
    <w:p w14:paraId="62CDC342" w14:textId="6325564C" w:rsidR="0096372D" w:rsidRPr="0096372D" w:rsidRDefault="0096372D" w:rsidP="003874C0">
      <w:pPr>
        <w:widowControl/>
        <w:shd w:val="clear" w:color="auto" w:fill="FFFFFF"/>
        <w:suppressAutoHyphens w:val="0"/>
        <w:spacing w:after="60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96372D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Dziś święto Matki Bożej z Jasnej Góry. Może żaden inny dzień w roku nie odsłania w takim stopniu szczególnego rysu duszy polskiej. Historia potwierdziła to wielokrotnie, że jesteśmy zdolni do zawierzenia. Potwierdziły to zwłaszcza chwile trudne w dziejach. Potwierdziła to obrona Jasnej Góry w XVII wieku i “cud nad Wisłą” w naszym stuleciu. Potwierdzają to również dziesięciolecia ostatnie. Zawierzenie mówi o wewnętrznym otwarciu, mówi o transcendentnym wymiarze człowieczeństwa. Odzwierciedla się w nim przeświadczenie o takim ładzie, w którym dobro ostatecznie odnosi zwycięstwo. “Nie daj się zwyciężyć złu, ale zło dobrem zwyciężaj!” (</w:t>
      </w:r>
      <w:r w:rsidRPr="0096372D">
        <w:rPr>
          <w:rFonts w:asciiTheme="minorHAnsi" w:eastAsia="Times New Roman" w:hAnsiTheme="minorHAnsi" w:cstheme="minorHAnsi"/>
          <w:i/>
          <w:iCs/>
          <w:color w:val="000000"/>
          <w:kern w:val="0"/>
          <w:lang w:eastAsia="pl-PL"/>
        </w:rPr>
        <w:t>Rom. </w:t>
      </w:r>
      <w:r w:rsidRPr="0096372D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12, 21).</w:t>
      </w:r>
    </w:p>
    <w:p w14:paraId="0AC89AE3" w14:textId="6A0128DA" w:rsidR="0096372D" w:rsidRDefault="0096372D" w:rsidP="003874C0">
      <w:pPr>
        <w:widowControl/>
        <w:shd w:val="clear" w:color="auto" w:fill="FFFFFF"/>
        <w:suppressAutoHyphens w:val="0"/>
        <w:spacing w:after="60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96372D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Na Jasną Górę przychodzimy z tym wielowiekowym już depozytem naszego zawierzenia do Matki Boga i ludzi, które jest dziedzictwem całych pokoleń. Trzeba dziś zawierzyć ten nowy etap polskiego życia, bytu całego społeczeństwa. Tych, którzy mają w nim szczególną odpowiedzialność. Ale trzeba zawierzyć równocześnie naszą zbiorową odpowiedzialność, abyśmy jej podołali: każdy, każda - i</w:t>
      </w:r>
      <w:r w:rsidRPr="0093301E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 </w:t>
      </w:r>
      <w:r w:rsidRPr="0096372D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wszyscy. Zawierzenie świadczy o tym, że chcemy trwać w Przymierzu, które Bóg zawarł z całą rodziną narodów - i z nami - w Chrystusie, w Synu Dziewicy z Nazaretu, w Jego Krzyżu i Zmartwychwstaniu. Zawierzenie określa ostateczny wymiar naszego ziemskiego pielgrzymowania. Zawierzenie zobowiązuje także tego, kto zawierza. Zobowiązuje na co dzień. Prosimy dzisiaj Panią Jasnogórską o moc, która z tego zawierzenia płynie w całym naszym polskim bytowaniu. “Bądź z nami w każdy czas”.  </w:t>
      </w:r>
    </w:p>
    <w:p w14:paraId="739A8106" w14:textId="4AF879DD" w:rsidR="00BD732F" w:rsidRPr="0093301E" w:rsidRDefault="00BD732F" w:rsidP="007E7771">
      <w:pPr>
        <w:widowControl/>
        <w:shd w:val="clear" w:color="auto" w:fill="FFFFFF"/>
        <w:suppressAutoHyphens w:val="0"/>
        <w:spacing w:after="60"/>
        <w:jc w:val="right"/>
        <w:textAlignment w:val="auto"/>
        <w:rPr>
          <w:rFonts w:asciiTheme="minorHAnsi" w:hAnsiTheme="minorHAnsi" w:cstheme="minorHAnsi"/>
        </w:rPr>
      </w:pPr>
      <w:r w:rsidRPr="00BD732F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(Jan Paweł II, homilia </w:t>
      </w:r>
      <w:r w:rsidR="007E7771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do pielgrzymów polskich </w:t>
      </w:r>
      <w:r w:rsidRPr="00BD732F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w </w:t>
      </w:r>
      <w:proofErr w:type="spellStart"/>
      <w:r w:rsidRPr="00BD732F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Castel</w:t>
      </w:r>
      <w:proofErr w:type="spellEnd"/>
      <w:r w:rsidRPr="00BD732F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Gandolfo, 26 sierpnia 19</w:t>
      </w: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>90)</w:t>
      </w:r>
    </w:p>
    <w:sectPr w:rsidR="00BD732F" w:rsidRPr="0093301E" w:rsidSect="005D710B">
      <w:type w:val="continuous"/>
      <w:pgSz w:w="11906" w:h="16838"/>
      <w:pgMar w:top="694" w:right="919" w:bottom="495" w:left="919" w:header="637" w:footer="0" w:gutter="0"/>
      <w:pgBorders>
        <w:top w:val="single" w:sz="4" w:space="3" w:color="1F497D"/>
        <w:left w:val="single" w:sz="4" w:space="10" w:color="1F497D"/>
        <w:bottom w:val="single" w:sz="4" w:space="3" w:color="1F497D"/>
        <w:right w:val="single" w:sz="4" w:space="10" w:color="1F497D"/>
      </w:pgBorders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DFDD" w14:textId="77777777" w:rsidR="00C05F24" w:rsidRDefault="00C05F24">
      <w:r>
        <w:separator/>
      </w:r>
    </w:p>
  </w:endnote>
  <w:endnote w:type="continuationSeparator" w:id="0">
    <w:p w14:paraId="52F84AA2" w14:textId="77777777" w:rsidR="00C05F24" w:rsidRDefault="00C0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8B85" w14:textId="77777777" w:rsidR="00C05F24" w:rsidRDefault="00C05F24">
      <w:r>
        <w:separator/>
      </w:r>
    </w:p>
  </w:footnote>
  <w:footnote w:type="continuationSeparator" w:id="0">
    <w:p w14:paraId="0387C38F" w14:textId="77777777" w:rsidR="00C05F24" w:rsidRDefault="00C0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7239" w14:textId="22B69067" w:rsidR="005216AB" w:rsidRDefault="00BC349A">
    <w:pPr>
      <w:pStyle w:val="Standard"/>
      <w:spacing w:after="160" w:line="264" w:lineRule="auto"/>
      <w:ind w:left="-142" w:right="-602"/>
    </w:pPr>
    <w:r>
      <w:rPr>
        <w:i/>
        <w:iCs/>
        <w:color w:val="548DD4"/>
      </w:rPr>
      <w:t xml:space="preserve">RRN, Spotkanie centralne nauczycieli, </w:t>
    </w:r>
    <w:r w:rsidR="00115107">
      <w:rPr>
        <w:i/>
        <w:iCs/>
        <w:color w:val="548DD4"/>
      </w:rPr>
      <w:t>25</w:t>
    </w:r>
    <w:r w:rsidR="004E6DAC">
      <w:rPr>
        <w:i/>
        <w:iCs/>
        <w:color w:val="548DD4"/>
      </w:rPr>
      <w:t>.</w:t>
    </w:r>
    <w:r>
      <w:rPr>
        <w:i/>
        <w:iCs/>
        <w:color w:val="548DD4"/>
      </w:rPr>
      <w:t>0</w:t>
    </w:r>
    <w:r w:rsidR="00115107">
      <w:rPr>
        <w:i/>
        <w:iCs/>
        <w:color w:val="548DD4"/>
      </w:rPr>
      <w:t>6</w:t>
    </w:r>
    <w:r>
      <w:rPr>
        <w:i/>
        <w:iCs/>
        <w:color w:val="548DD4"/>
      </w:rPr>
      <w:t xml:space="preserve">.2022 – teksty do lektury i rozmyślania – </w:t>
    </w:r>
    <w:r w:rsidR="004E6DAC">
      <w:rPr>
        <w:i/>
        <w:iCs/>
        <w:color w:val="548DD4"/>
      </w:rPr>
      <w:t>Wszystko postawiłem na Maryję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AB"/>
    <w:rsid w:val="000B0448"/>
    <w:rsid w:val="00115107"/>
    <w:rsid w:val="00122DC6"/>
    <w:rsid w:val="00186002"/>
    <w:rsid w:val="001F6598"/>
    <w:rsid w:val="002A0D00"/>
    <w:rsid w:val="003874C0"/>
    <w:rsid w:val="00407897"/>
    <w:rsid w:val="00451D46"/>
    <w:rsid w:val="004A0268"/>
    <w:rsid w:val="004E6DAC"/>
    <w:rsid w:val="004F1555"/>
    <w:rsid w:val="005216AB"/>
    <w:rsid w:val="005603AF"/>
    <w:rsid w:val="005A7301"/>
    <w:rsid w:val="005D710B"/>
    <w:rsid w:val="007047B7"/>
    <w:rsid w:val="007E7771"/>
    <w:rsid w:val="007F652C"/>
    <w:rsid w:val="0082604E"/>
    <w:rsid w:val="008C766F"/>
    <w:rsid w:val="00931AE8"/>
    <w:rsid w:val="0093301E"/>
    <w:rsid w:val="0096372D"/>
    <w:rsid w:val="00AD3010"/>
    <w:rsid w:val="00AF2D14"/>
    <w:rsid w:val="00B7136A"/>
    <w:rsid w:val="00B776BF"/>
    <w:rsid w:val="00BB6D18"/>
    <w:rsid w:val="00BC349A"/>
    <w:rsid w:val="00BD732F"/>
    <w:rsid w:val="00C05F24"/>
    <w:rsid w:val="00C77177"/>
    <w:rsid w:val="00CA2A5F"/>
    <w:rsid w:val="00D909A4"/>
    <w:rsid w:val="00D95D38"/>
    <w:rsid w:val="00E50945"/>
    <w:rsid w:val="00EA2823"/>
    <w:rsid w:val="00EB663A"/>
    <w:rsid w:val="00ED1D70"/>
    <w:rsid w:val="00F12189"/>
    <w:rsid w:val="00F25E8C"/>
    <w:rsid w:val="00F620A2"/>
    <w:rsid w:val="00F741B7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9D17"/>
  <w15:docId w15:val="{1F75A0D7-C3A1-4983-A449-348A420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StopkaZnak">
    <w:name w:val="Stopka Znak"/>
    <w:qFormat/>
  </w:style>
  <w:style w:type="character" w:customStyle="1" w:styleId="TytuZnak1">
    <w:name w:val="Tytuł Znak1"/>
    <w:basedOn w:val="Domylnaczcionkaakapitu"/>
    <w:qFormat/>
    <w:rPr>
      <w:rFonts w:ascii="Calibri Light" w:eastAsia="F" w:hAnsi="Calibri Light" w:cs="F"/>
      <w:spacing w:val="-10"/>
      <w:kern w:val="2"/>
      <w:sz w:val="56"/>
      <w:szCs w:val="56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Internetlink">
    <w:name w:val="Internet link"/>
    <w:basedOn w:val="Domylnaczcionkaakapitu"/>
    <w:qFormat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227BC6"/>
    <w:rPr>
      <w:color w:val="0563C1" w:themeColor="hyperlink"/>
      <w:u w:val="single"/>
    </w:rPr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suppressAutoHyphens/>
      <w:spacing w:after="120"/>
      <w:textAlignment w:val="baseline"/>
    </w:pPr>
    <w:rPr>
      <w:rFonts w:cs="Times New Roman"/>
      <w:color w:val="00000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ytu">
    <w:name w:val="Title"/>
    <w:basedOn w:val="Standard"/>
    <w:next w:val="Podtytu"/>
    <w:uiPriority w:val="10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F"/>
      <w:b/>
      <w:bCs/>
      <w:color w:val="17365D"/>
      <w:spacing w:val="5"/>
      <w:sz w:val="52"/>
      <w:szCs w:val="52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F"/>
    </w:rPr>
  </w:style>
  <w:style w:type="paragraph" w:styleId="NormalnyWeb">
    <w:name w:val="Normal (Web)"/>
    <w:basedOn w:val="Standard"/>
    <w:uiPriority w:val="99"/>
    <w:qFormat/>
    <w:pPr>
      <w:shd w:val="clear" w:color="auto" w:fill="FFFFFF"/>
      <w:spacing w:before="28" w:after="28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qFormat/>
    <w:pPr>
      <w:spacing w:after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7897"/>
    <w:rPr>
      <w:color w:val="0000FF"/>
      <w:u w:val="single"/>
    </w:rPr>
  </w:style>
  <w:style w:type="paragraph" w:customStyle="1" w:styleId="przypisy">
    <w:name w:val="przypisy"/>
    <w:basedOn w:val="Normalny"/>
    <w:rsid w:val="005A7301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ka.org.pl/biblioteka/W/WP/jan_pawel_ii/encykliki/r_mater_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oka.org.pl/biblioteka/W/WP/jan_pawel_ii/encykliki/r_mater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oka.org.pl/biblioteka/W/WP/jan_pawel_ii/encykliki/r_mater_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057E-4E43-414E-A0AE-4BAEBE3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Ania2</dc:creator>
  <dc:description/>
  <cp:lastModifiedBy>Maria Gokieli</cp:lastModifiedBy>
  <cp:revision>9</cp:revision>
  <cp:lastPrinted>2022-04-07T08:41:00Z</cp:lastPrinted>
  <dcterms:created xsi:type="dcterms:W3CDTF">2022-06-24T13:21:00Z</dcterms:created>
  <dcterms:modified xsi:type="dcterms:W3CDTF">2022-06-25T05:39:00Z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